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EA35C" w14:textId="48F23310" w:rsidR="00C4741C" w:rsidRDefault="00C4741C" w:rsidP="00C4741C">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#107e</w:t>
      </w:r>
      <w:r w:rsidRPr="007D3E81">
        <w:rPr>
          <w:rFonts w:cs="Arial"/>
          <w:b/>
          <w:sz w:val="24"/>
          <w:szCs w:val="24"/>
        </w:rPr>
        <w:tab/>
      </w:r>
      <w:r w:rsidR="000E371D" w:rsidRPr="000E371D">
        <w:rPr>
          <w:rFonts w:cs="Arial"/>
          <w:b/>
          <w:sz w:val="24"/>
          <w:szCs w:val="24"/>
        </w:rPr>
        <w:t>R3-200993</w:t>
      </w:r>
    </w:p>
    <w:p w14:paraId="47CDD816" w14:textId="77777777" w:rsidR="00C4741C" w:rsidRPr="00455CF9" w:rsidRDefault="00C4741C" w:rsidP="00C4741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75A9CB1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4741C">
        <w:rPr>
          <w:sz w:val="22"/>
          <w:szCs w:val="22"/>
          <w:lang w:val="en-US"/>
        </w:rPr>
        <w:t>31.3.5</w:t>
      </w:r>
    </w:p>
    <w:p w14:paraId="5DAA27F0" w14:textId="5E10799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E0E365C"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364CF8">
        <w:rPr>
          <w:sz w:val="22"/>
          <w:szCs w:val="22"/>
        </w:rPr>
        <w:t xml:space="preserve">Summary of Offline Discussions on </w:t>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11CC732" w14:textId="218B78AC" w:rsidR="00364CF8" w:rsidRDefault="00364CF8" w:rsidP="00364CF8">
      <w:r>
        <w:t xml:space="preserve">In this document the outcome of offline discussions on </w:t>
      </w:r>
      <w:r>
        <w:rPr>
          <w:sz w:val="22"/>
          <w:szCs w:val="22"/>
        </w:rPr>
        <w:t>Correction to node name format</w:t>
      </w:r>
      <w:r>
        <w:t xml:space="preserve"> is captured.</w:t>
      </w:r>
    </w:p>
    <w:p w14:paraId="677AEB9C" w14:textId="77777777" w:rsidR="00364CF8" w:rsidRDefault="00364CF8" w:rsidP="00C15D30"/>
    <w:p w14:paraId="217E4F33" w14:textId="65C30AD0" w:rsidR="00407B72" w:rsidRDefault="00407B72" w:rsidP="00407B72">
      <w:pPr>
        <w:pStyle w:val="Heading1"/>
      </w:pPr>
      <w:r>
        <w:lastRenderedPageBreak/>
        <w:t>Discussion</w:t>
      </w:r>
    </w:p>
    <w:p w14:paraId="6E4F3FC5" w14:textId="6BC65620" w:rsidR="00364CF8" w:rsidRDefault="00364CF8" w:rsidP="00524DFE">
      <w:pPr>
        <w:pStyle w:val="TAL"/>
        <w:rPr>
          <w:sz w:val="20"/>
        </w:rPr>
      </w:pPr>
      <w:bookmarkStart w:id="0" w:name="_Hlk509769073"/>
      <w:r>
        <w:rPr>
          <w:sz w:val="20"/>
        </w:rPr>
        <w:t xml:space="preserve">During RAN3-106 proposals on correction to the node name IE format over the F1, E1 and NG interfaces were made. A number of companies were in support of such changes but requested that the changes were made in a backwards compatible way. </w:t>
      </w:r>
    </w:p>
    <w:p w14:paraId="32E309FA" w14:textId="4B029B81" w:rsidR="00364CF8" w:rsidRDefault="00364CF8" w:rsidP="00524DFE">
      <w:pPr>
        <w:pStyle w:val="TAL"/>
        <w:rPr>
          <w:sz w:val="20"/>
        </w:rPr>
      </w:pPr>
    </w:p>
    <w:p w14:paraId="3E147BFB" w14:textId="7CBAF7CA" w:rsidR="00364CF8" w:rsidRDefault="00364CF8" w:rsidP="00524DFE">
      <w:pPr>
        <w:pStyle w:val="TAL"/>
        <w:rPr>
          <w:sz w:val="20"/>
        </w:rPr>
      </w:pPr>
      <w:r>
        <w:rPr>
          <w:sz w:val="20"/>
        </w:rPr>
        <w:t>At RAN3-107e a number of documents were submitted to address the issue of Node Name Format. Such contributions can be found in R3-200993, R3-200799, R3-200806, R3-200807.</w:t>
      </w:r>
    </w:p>
    <w:p w14:paraId="281CE7C2" w14:textId="77F3B2D3" w:rsidR="00364CF8" w:rsidRDefault="00364CF8" w:rsidP="00524DFE">
      <w:pPr>
        <w:pStyle w:val="TAL"/>
        <w:rPr>
          <w:sz w:val="20"/>
        </w:rPr>
      </w:pPr>
    </w:p>
    <w:p w14:paraId="781B15D0" w14:textId="30BC4913" w:rsidR="008E49E5" w:rsidRDefault="00364CF8" w:rsidP="00364CF8">
      <w:pPr>
        <w:pStyle w:val="TAL"/>
        <w:rPr>
          <w:sz w:val="20"/>
        </w:rPr>
      </w:pPr>
      <w:r>
        <w:rPr>
          <w:sz w:val="20"/>
        </w:rPr>
        <w:t>The new proposals are backwards compatible because they propose the introduction of a new Node Name IE that, when present, is used instead of the old Node Name IE. This allows operators to use the same Node Name format over he RAN interfaces and between the RAN and the OAM system.</w:t>
      </w:r>
      <w:bookmarkEnd w:id="0"/>
    </w:p>
    <w:p w14:paraId="424C18B9" w14:textId="7C5D3B3C" w:rsidR="00EB04E5" w:rsidRDefault="00EB04E5" w:rsidP="00364CF8">
      <w:pPr>
        <w:pStyle w:val="TAL"/>
        <w:rPr>
          <w:sz w:val="20"/>
        </w:rPr>
      </w:pPr>
    </w:p>
    <w:p w14:paraId="0087B8EB" w14:textId="77777777" w:rsidR="00EB04E5" w:rsidRPr="00277BBF" w:rsidRDefault="00EB04E5" w:rsidP="00364CF8">
      <w:pPr>
        <w:pStyle w:val="TAL"/>
        <w:rPr>
          <w:color w:val="C0504D" w:themeColor="accent2"/>
          <w:sz w:val="20"/>
        </w:rPr>
      </w:pPr>
      <w:r w:rsidRPr="00277BBF">
        <w:rPr>
          <w:color w:val="C0504D" w:themeColor="accent2"/>
          <w:sz w:val="20"/>
        </w:rPr>
        <w:t xml:space="preserve">[Nokia] </w:t>
      </w:r>
    </w:p>
    <w:p w14:paraId="7A773602" w14:textId="6EDD3098" w:rsidR="00EB04E5" w:rsidRPr="00277BBF" w:rsidRDefault="00EB04E5" w:rsidP="00364CF8">
      <w:pPr>
        <w:pStyle w:val="TAL"/>
        <w:rPr>
          <w:color w:val="C0504D" w:themeColor="accent2"/>
          <w:sz w:val="20"/>
        </w:rPr>
      </w:pPr>
      <w:r w:rsidRPr="00277BBF">
        <w:rPr>
          <w:color w:val="C0504D" w:themeColor="accent2"/>
          <w:sz w:val="20"/>
        </w:rPr>
        <w:t xml:space="preserve">The current IE proposal should be simplified to just </w:t>
      </w:r>
      <w:proofErr w:type="spellStart"/>
      <w:r w:rsidRPr="00277BBF">
        <w:rPr>
          <w:b/>
          <w:bCs/>
          <w:color w:val="C0504D" w:themeColor="accent2"/>
          <w:sz w:val="20"/>
        </w:rPr>
        <w:t>VisibleString</w:t>
      </w:r>
      <w:proofErr w:type="spellEnd"/>
      <w:r w:rsidRPr="00277BBF">
        <w:rPr>
          <w:b/>
          <w:bCs/>
          <w:color w:val="C0504D" w:themeColor="accent2"/>
          <w:sz w:val="20"/>
        </w:rPr>
        <w:t>(SIZE(1..150,...)</w:t>
      </w:r>
      <w:r w:rsidRPr="00277BBF">
        <w:rPr>
          <w:color w:val="C0504D" w:themeColor="accent2"/>
          <w:sz w:val="20"/>
        </w:rPr>
        <w:t xml:space="preserve"> rather than </w:t>
      </w:r>
      <w:proofErr w:type="spellStart"/>
      <w:r w:rsidRPr="00277BBF">
        <w:rPr>
          <w:b/>
          <w:bCs/>
          <w:color w:val="C0504D" w:themeColor="accent2"/>
          <w:sz w:val="20"/>
        </w:rPr>
        <w:t>VisibleString</w:t>
      </w:r>
      <w:proofErr w:type="spellEnd"/>
      <w:r w:rsidRPr="00277BBF">
        <w:rPr>
          <w:b/>
          <w:bCs/>
          <w:color w:val="C0504D" w:themeColor="accent2"/>
          <w:sz w:val="20"/>
        </w:rPr>
        <w:t>(</w:t>
      </w:r>
      <w:r w:rsidRPr="00277BBF">
        <w:rPr>
          <w:b/>
          <w:bCs/>
          <w:color w:val="C0504D" w:themeColor="accent2"/>
          <w:sz w:val="20"/>
          <w:highlight w:val="yellow"/>
        </w:rPr>
        <w:t>FROM(" ".."~"^</w:t>
      </w:r>
      <w:r w:rsidRPr="00277BBF">
        <w:rPr>
          <w:b/>
          <w:bCs/>
          <w:color w:val="C0504D" w:themeColor="accent2"/>
          <w:sz w:val="20"/>
        </w:rPr>
        <w:t xml:space="preserve"> SIZE(1..150, ...))</w:t>
      </w:r>
      <w:r w:rsidRPr="00277BBF">
        <w:rPr>
          <w:color w:val="C0504D" w:themeColor="accent2"/>
          <w:sz w:val="20"/>
        </w:rPr>
        <w:t xml:space="preserve">. </w:t>
      </w:r>
    </w:p>
    <w:p w14:paraId="3D88E0E4" w14:textId="7BA5FDAF" w:rsidR="004158D4" w:rsidRPr="00277BBF" w:rsidRDefault="00EB04E5" w:rsidP="00364CF8">
      <w:pPr>
        <w:pStyle w:val="TAL"/>
        <w:rPr>
          <w:color w:val="C0504D" w:themeColor="accent2"/>
          <w:sz w:val="20"/>
        </w:rPr>
      </w:pPr>
      <w:r w:rsidRPr="00277BBF">
        <w:rPr>
          <w:color w:val="C0504D" w:themeColor="accent2"/>
          <w:sz w:val="20"/>
        </w:rPr>
        <w:t xml:space="preserve">In the discussion paper R3-200993, there is claim that this additional restriction is necessary to exclude characters </w:t>
      </w:r>
      <w:r w:rsidRPr="00277BBF">
        <w:rPr>
          <w:i/>
          <w:iCs/>
          <w:color w:val="C0504D" w:themeColor="accent2"/>
          <w:sz w:val="20"/>
        </w:rPr>
        <w:t>“such as NULL (0000), ESC(001B), DEL (007F) or CR (000D)”</w:t>
      </w:r>
      <w:r w:rsidR="00E46152" w:rsidRPr="00277BBF">
        <w:rPr>
          <w:color w:val="C0504D" w:themeColor="accent2"/>
          <w:sz w:val="20"/>
        </w:rPr>
        <w:t xml:space="preserve"> which exist in ISO/IEC</w:t>
      </w:r>
      <w:r w:rsidR="00A37B49" w:rsidRPr="00277BBF">
        <w:rPr>
          <w:color w:val="C0504D" w:themeColor="accent2"/>
          <w:sz w:val="20"/>
        </w:rPr>
        <w:t xml:space="preserve"> </w:t>
      </w:r>
      <w:r w:rsidR="00E46152" w:rsidRPr="00277BBF">
        <w:rPr>
          <w:color w:val="C0504D" w:themeColor="accent2"/>
          <w:sz w:val="20"/>
        </w:rPr>
        <w:t>646</w:t>
      </w:r>
      <w:r w:rsidR="00A37B49" w:rsidRPr="00277BBF">
        <w:rPr>
          <w:color w:val="C0504D" w:themeColor="accent2"/>
          <w:sz w:val="20"/>
        </w:rPr>
        <w:t xml:space="preserve"> cod </w:t>
      </w:r>
      <w:proofErr w:type="spellStart"/>
      <w:r w:rsidR="00A37B49" w:rsidRPr="00277BBF">
        <w:rPr>
          <w:color w:val="C0504D" w:themeColor="accent2"/>
          <w:sz w:val="20"/>
        </w:rPr>
        <w:t>etable</w:t>
      </w:r>
      <w:proofErr w:type="spellEnd"/>
      <w:r w:rsidRPr="00277BBF">
        <w:rPr>
          <w:color w:val="C0504D" w:themeColor="accent2"/>
          <w:sz w:val="20"/>
        </w:rPr>
        <w:t xml:space="preserve">. However, these commands are already </w:t>
      </w:r>
      <w:r w:rsidRPr="00277BBF">
        <w:rPr>
          <w:color w:val="C0504D" w:themeColor="accent2"/>
          <w:sz w:val="20"/>
          <w:u w:val="single"/>
        </w:rPr>
        <w:t>not included</w:t>
      </w:r>
      <w:r w:rsidRPr="00277BBF">
        <w:rPr>
          <w:color w:val="C0504D" w:themeColor="accent2"/>
          <w:sz w:val="20"/>
        </w:rPr>
        <w:t xml:space="preserve"> in the </w:t>
      </w:r>
      <w:proofErr w:type="spellStart"/>
      <w:r w:rsidRPr="00277BBF">
        <w:rPr>
          <w:color w:val="C0504D" w:themeColor="accent2"/>
          <w:sz w:val="20"/>
        </w:rPr>
        <w:t>VisibleString</w:t>
      </w:r>
      <w:proofErr w:type="spellEnd"/>
      <w:r w:rsidRPr="00277BBF">
        <w:rPr>
          <w:color w:val="C0504D" w:themeColor="accent2"/>
          <w:sz w:val="20"/>
        </w:rPr>
        <w:t xml:space="preserve"> IE type in ASN.1. </w:t>
      </w:r>
      <w:r w:rsidR="00D01B54" w:rsidRPr="00277BBF">
        <w:rPr>
          <w:color w:val="C0504D" w:themeColor="accent2"/>
          <w:sz w:val="20"/>
        </w:rPr>
        <w:t xml:space="preserve">That is, the </w:t>
      </w:r>
      <w:proofErr w:type="spellStart"/>
      <w:r w:rsidR="00D01B54" w:rsidRPr="00277BBF">
        <w:rPr>
          <w:color w:val="C0504D" w:themeColor="accent2"/>
          <w:sz w:val="20"/>
        </w:rPr>
        <w:t>VisibleString</w:t>
      </w:r>
      <w:proofErr w:type="spellEnd"/>
      <w:r w:rsidR="00D01B54" w:rsidRPr="00277BBF">
        <w:rPr>
          <w:color w:val="C0504D" w:themeColor="accent2"/>
          <w:sz w:val="20"/>
        </w:rPr>
        <w:t xml:space="preserve"> IE type already comprises only of </w:t>
      </w:r>
      <w:r w:rsidR="00335E04" w:rsidRPr="00277BBF">
        <w:rPr>
          <w:color w:val="C0504D" w:themeColor="accent2"/>
          <w:sz w:val="20"/>
        </w:rPr>
        <w:t xml:space="preserve">the </w:t>
      </w:r>
      <w:r w:rsidR="00D01B54" w:rsidRPr="00277BBF">
        <w:rPr>
          <w:color w:val="C0504D" w:themeColor="accent2"/>
          <w:sz w:val="20"/>
        </w:rPr>
        <w:t>94 characters plus space</w:t>
      </w:r>
      <w:r w:rsidR="004158D4" w:rsidRPr="00277BBF">
        <w:rPr>
          <w:color w:val="C0504D" w:themeColor="accent2"/>
          <w:sz w:val="20"/>
        </w:rPr>
        <w:t xml:space="preserve">, resulting in </w:t>
      </w:r>
      <w:r w:rsidR="00A37B49" w:rsidRPr="00277BBF">
        <w:rPr>
          <w:color w:val="C0504D" w:themeColor="accent2"/>
          <w:sz w:val="20"/>
        </w:rPr>
        <w:t xml:space="preserve">precisely </w:t>
      </w:r>
      <w:r w:rsidR="004158D4" w:rsidRPr="00277BBF">
        <w:rPr>
          <w:color w:val="C0504D" w:themeColor="accent2"/>
          <w:sz w:val="20"/>
        </w:rPr>
        <w:t>95 characters</w:t>
      </w:r>
      <w:r w:rsidR="00A37B49" w:rsidRPr="00277BBF">
        <w:rPr>
          <w:color w:val="C0504D" w:themeColor="accent2"/>
          <w:sz w:val="20"/>
        </w:rPr>
        <w:t xml:space="preserve"> according to ITU X.680 specification</w:t>
      </w:r>
      <w:r w:rsidR="004158D4" w:rsidRPr="00277BBF">
        <w:rPr>
          <w:color w:val="C0504D" w:themeColor="accent2"/>
          <w:sz w:val="20"/>
        </w:rPr>
        <w:t>.</w:t>
      </w:r>
    </w:p>
    <w:p w14:paraId="7434BF95" w14:textId="77777777" w:rsidR="004158D4" w:rsidRPr="00277BBF" w:rsidRDefault="004158D4" w:rsidP="00364CF8">
      <w:pPr>
        <w:pStyle w:val="TAL"/>
        <w:rPr>
          <w:color w:val="C0504D" w:themeColor="accent2"/>
          <w:sz w:val="20"/>
        </w:rPr>
      </w:pPr>
    </w:p>
    <w:p w14:paraId="0BAD5DFA" w14:textId="78445638" w:rsidR="00D01B54" w:rsidRPr="00277BBF" w:rsidRDefault="004158D4" w:rsidP="00364CF8">
      <w:pPr>
        <w:pStyle w:val="TAL"/>
        <w:rPr>
          <w:color w:val="C0504D" w:themeColor="accent2"/>
          <w:sz w:val="20"/>
        </w:rPr>
      </w:pPr>
      <w:r w:rsidRPr="00277BBF">
        <w:rPr>
          <w:color w:val="C0504D" w:themeColor="accent2"/>
          <w:sz w:val="20"/>
        </w:rPr>
        <w:t xml:space="preserve">Specifically, </w:t>
      </w:r>
      <w:r w:rsidR="00E46152" w:rsidRPr="00277BBF">
        <w:rPr>
          <w:color w:val="C0504D" w:themeColor="accent2"/>
          <w:sz w:val="20"/>
        </w:rPr>
        <w:t>ITU X.680 specification</w:t>
      </w:r>
      <w:r w:rsidRPr="00277BBF">
        <w:rPr>
          <w:color w:val="C0504D" w:themeColor="accent2"/>
          <w:sz w:val="20"/>
        </w:rPr>
        <w:t xml:space="preserve"> indicates that:</w:t>
      </w:r>
    </w:p>
    <w:p w14:paraId="70AC914F" w14:textId="37ED789D" w:rsidR="004158D4" w:rsidRPr="00277BBF" w:rsidRDefault="004158D4" w:rsidP="004158D4">
      <w:pPr>
        <w:pStyle w:val="TAL"/>
        <w:numPr>
          <w:ilvl w:val="0"/>
          <w:numId w:val="22"/>
        </w:numPr>
        <w:rPr>
          <w:color w:val="C0504D" w:themeColor="accent2"/>
          <w:sz w:val="20"/>
        </w:rPr>
      </w:pPr>
      <w:r w:rsidRPr="00277BBF">
        <w:rPr>
          <w:color w:val="C0504D" w:themeColor="accent2"/>
          <w:sz w:val="20"/>
        </w:rPr>
        <w:t xml:space="preserve">The character set for </w:t>
      </w:r>
      <w:proofErr w:type="spellStart"/>
      <w:r w:rsidRPr="00277BBF">
        <w:rPr>
          <w:color w:val="C0504D" w:themeColor="accent2"/>
          <w:sz w:val="20"/>
        </w:rPr>
        <w:t>VisibleString</w:t>
      </w:r>
      <w:proofErr w:type="spellEnd"/>
      <w:r w:rsidRPr="00277BBF">
        <w:rPr>
          <w:color w:val="C0504D" w:themeColor="accent2"/>
          <w:sz w:val="20"/>
        </w:rPr>
        <w:t>(ISO646String) corresponds to entry 6 of the ISO International Register of Coded Character Sets to be used with Escape Sequences, plus the SPACE character</w:t>
      </w:r>
    </w:p>
    <w:p w14:paraId="1F4B11FA" w14:textId="4BDFC108" w:rsidR="004158D4" w:rsidRPr="00277BBF" w:rsidRDefault="004158D4" w:rsidP="004158D4">
      <w:pPr>
        <w:pStyle w:val="TAL"/>
        <w:numPr>
          <w:ilvl w:val="0"/>
          <w:numId w:val="22"/>
        </w:numPr>
        <w:rPr>
          <w:color w:val="C0504D" w:themeColor="accent2"/>
          <w:sz w:val="20"/>
        </w:rPr>
      </w:pPr>
      <w:r w:rsidRPr="00277BBF">
        <w:rPr>
          <w:color w:val="C0504D" w:themeColor="accent2"/>
          <w:sz w:val="20"/>
        </w:rPr>
        <w:t xml:space="preserve">The canonical order is the same as the characters in cells </w:t>
      </w:r>
      <w:r w:rsidRPr="00277BBF">
        <w:rPr>
          <w:b/>
          <w:bCs/>
          <w:color w:val="C0504D" w:themeColor="accent2"/>
          <w:sz w:val="20"/>
        </w:rPr>
        <w:t>2/0-7/14</w:t>
      </w:r>
      <w:r w:rsidRPr="00277BBF">
        <w:rPr>
          <w:color w:val="C0504D" w:themeColor="accent2"/>
          <w:sz w:val="20"/>
        </w:rPr>
        <w:t xml:space="preserve"> of the ISO/IEC 646 code table. </w:t>
      </w:r>
    </w:p>
    <w:p w14:paraId="776520F5" w14:textId="1DFD63D0" w:rsidR="004158D4" w:rsidRPr="00277BBF" w:rsidRDefault="004158D4" w:rsidP="00277BBF">
      <w:pPr>
        <w:pStyle w:val="TAL"/>
        <w:numPr>
          <w:ilvl w:val="0"/>
          <w:numId w:val="22"/>
        </w:numPr>
        <w:rPr>
          <w:color w:val="C0504D" w:themeColor="accent2"/>
          <w:sz w:val="20"/>
        </w:rPr>
      </w:pPr>
      <w:r w:rsidRPr="00277BBF">
        <w:rPr>
          <w:color w:val="C0504D" w:themeColor="accent2"/>
          <w:sz w:val="20"/>
        </w:rPr>
        <w:t>The entire character set contains precisely 95 characters</w:t>
      </w:r>
    </w:p>
    <w:p w14:paraId="2A0DC9D5" w14:textId="270BB875" w:rsidR="00E46152" w:rsidRPr="00277BBF" w:rsidRDefault="00E46152" w:rsidP="00364CF8">
      <w:pPr>
        <w:pStyle w:val="TAL"/>
        <w:rPr>
          <w:color w:val="C0504D" w:themeColor="accent2"/>
          <w:sz w:val="20"/>
        </w:rPr>
      </w:pPr>
    </w:p>
    <w:p w14:paraId="09BF4411" w14:textId="73A765EB" w:rsidR="00EB04E5" w:rsidRPr="00277BBF" w:rsidRDefault="004158D4" w:rsidP="00364CF8">
      <w:pPr>
        <w:pStyle w:val="TAL"/>
        <w:rPr>
          <w:color w:val="C0504D" w:themeColor="accent2"/>
          <w:sz w:val="20"/>
        </w:rPr>
      </w:pPr>
      <w:r w:rsidRPr="00277BBF">
        <w:rPr>
          <w:color w:val="C0504D" w:themeColor="accent2"/>
          <w:sz w:val="20"/>
        </w:rPr>
        <w:t>Therefore, given that ISO/IEC 646 2/0 corresponds to space, and 7/14 to “~”,</w:t>
      </w:r>
      <w:r w:rsidR="00A37B49" w:rsidRPr="00277BBF">
        <w:rPr>
          <w:color w:val="C0504D" w:themeColor="accent2"/>
          <w:sz w:val="20"/>
        </w:rPr>
        <w:t xml:space="preserve"> </w:t>
      </w:r>
      <w:r w:rsidR="00EB04E5" w:rsidRPr="00277BBF">
        <w:rPr>
          <w:color w:val="C0504D" w:themeColor="accent2"/>
          <w:sz w:val="20"/>
        </w:rPr>
        <w:t>th</w:t>
      </w:r>
      <w:r w:rsidRPr="00277BBF">
        <w:rPr>
          <w:color w:val="C0504D" w:themeColor="accent2"/>
          <w:sz w:val="20"/>
        </w:rPr>
        <w:t>e</w:t>
      </w:r>
      <w:r w:rsidR="00EB04E5" w:rsidRPr="00277BBF">
        <w:rPr>
          <w:color w:val="C0504D" w:themeColor="accent2"/>
          <w:sz w:val="20"/>
        </w:rPr>
        <w:t xml:space="preserve"> additional </w:t>
      </w:r>
      <w:r w:rsidRPr="00277BBF">
        <w:rPr>
          <w:color w:val="C0504D" w:themeColor="accent2"/>
          <w:sz w:val="20"/>
        </w:rPr>
        <w:t xml:space="preserve">proposed </w:t>
      </w:r>
      <w:r w:rsidR="00EB04E5" w:rsidRPr="00277BBF">
        <w:rPr>
          <w:color w:val="C0504D" w:themeColor="accent2"/>
          <w:sz w:val="20"/>
        </w:rPr>
        <w:t xml:space="preserve">“restriction” </w:t>
      </w:r>
      <w:r w:rsidR="00D01B54" w:rsidRPr="00277BBF">
        <w:rPr>
          <w:color w:val="C0504D" w:themeColor="accent2"/>
          <w:sz w:val="20"/>
        </w:rPr>
        <w:t xml:space="preserve">(i.e. </w:t>
      </w:r>
      <w:bookmarkStart w:id="1" w:name="_Hlk33516529"/>
      <w:r w:rsidR="00D01B54" w:rsidRPr="00277BBF">
        <w:rPr>
          <w:color w:val="C0504D" w:themeColor="accent2"/>
          <w:sz w:val="20"/>
        </w:rPr>
        <w:t xml:space="preserve">FROM(" ".."~") </w:t>
      </w:r>
      <w:bookmarkEnd w:id="1"/>
      <w:r w:rsidR="00EB04E5" w:rsidRPr="00277BBF">
        <w:rPr>
          <w:color w:val="C0504D" w:themeColor="accent2"/>
          <w:sz w:val="20"/>
        </w:rPr>
        <w:t>is unnecessary</w:t>
      </w:r>
      <w:r w:rsidR="00A37B49" w:rsidRPr="00277BBF">
        <w:rPr>
          <w:color w:val="C0504D" w:themeColor="accent2"/>
          <w:sz w:val="20"/>
        </w:rPr>
        <w:t>,</w:t>
      </w:r>
      <w:r w:rsidR="00EB04E5" w:rsidRPr="00277BBF">
        <w:rPr>
          <w:color w:val="C0504D" w:themeColor="accent2"/>
          <w:sz w:val="20"/>
        </w:rPr>
        <w:t xml:space="preserve"> and an implementation that would allow </w:t>
      </w:r>
      <w:r w:rsidRPr="00277BBF">
        <w:rPr>
          <w:color w:val="C0504D" w:themeColor="accent2"/>
          <w:sz w:val="20"/>
        </w:rPr>
        <w:t>that range of commands in ISO/IEC 646 w</w:t>
      </w:r>
      <w:r w:rsidR="00EB04E5" w:rsidRPr="00277BBF">
        <w:rPr>
          <w:color w:val="C0504D" w:themeColor="accent2"/>
          <w:sz w:val="20"/>
        </w:rPr>
        <w:t xml:space="preserve">ould not be according to </w:t>
      </w:r>
      <w:r w:rsidR="00E46152" w:rsidRPr="00277BBF">
        <w:rPr>
          <w:color w:val="C0504D" w:themeColor="accent2"/>
          <w:sz w:val="20"/>
        </w:rPr>
        <w:t xml:space="preserve">ASN.1 </w:t>
      </w:r>
      <w:r w:rsidR="00EB04E5" w:rsidRPr="00277BBF">
        <w:rPr>
          <w:color w:val="C0504D" w:themeColor="accent2"/>
          <w:sz w:val="20"/>
        </w:rPr>
        <w:t>s</w:t>
      </w:r>
      <w:r w:rsidR="00E46152" w:rsidRPr="00277BBF">
        <w:rPr>
          <w:color w:val="C0504D" w:themeColor="accent2"/>
          <w:sz w:val="20"/>
        </w:rPr>
        <w:t>pecification</w:t>
      </w:r>
      <w:r w:rsidR="00EB04E5" w:rsidRPr="00277BBF">
        <w:rPr>
          <w:color w:val="C0504D" w:themeColor="accent2"/>
          <w:sz w:val="20"/>
        </w:rPr>
        <w:t>.</w:t>
      </w:r>
    </w:p>
    <w:p w14:paraId="4A3C4CEB" w14:textId="77777777" w:rsidR="00EB04E5" w:rsidRPr="00277BBF" w:rsidRDefault="00EB04E5" w:rsidP="00364CF8">
      <w:pPr>
        <w:pStyle w:val="TAL"/>
        <w:rPr>
          <w:color w:val="C0504D" w:themeColor="accent2"/>
          <w:sz w:val="20"/>
        </w:rPr>
      </w:pPr>
    </w:p>
    <w:p w14:paraId="61DECEE2" w14:textId="4B729695" w:rsidR="00AB17A7" w:rsidRPr="00277BBF" w:rsidRDefault="00AB17A7" w:rsidP="00535376">
      <w:pPr>
        <w:pStyle w:val="TAL"/>
        <w:rPr>
          <w:color w:val="FF0000"/>
          <w:sz w:val="20"/>
          <w:lang w:eastAsia="zh-CN"/>
        </w:rPr>
      </w:pPr>
      <w:bookmarkStart w:id="2" w:name="_GoBack"/>
      <w:r w:rsidRPr="00277BBF">
        <w:rPr>
          <w:rFonts w:hint="eastAsia"/>
          <w:color w:val="FF0000"/>
          <w:sz w:val="20"/>
          <w:lang w:eastAsia="zh-CN"/>
        </w:rPr>
        <w:t>[</w:t>
      </w:r>
      <w:r w:rsidRPr="00277BBF">
        <w:rPr>
          <w:color w:val="FF0000"/>
          <w:sz w:val="20"/>
          <w:lang w:eastAsia="zh-CN"/>
        </w:rPr>
        <w:t xml:space="preserve">Huawei]The main intention is to </w:t>
      </w:r>
      <w:r w:rsidRPr="00277BBF">
        <w:rPr>
          <w:color w:val="FF0000"/>
          <w:sz w:val="20"/>
        </w:rPr>
        <w:t>allow operators to use the same Node Name format over he RAN interfaces and between the RAN and the OAM system</w:t>
      </w:r>
      <w:r w:rsidRPr="00277BBF">
        <w:rPr>
          <w:color w:val="FF0000"/>
          <w:sz w:val="20"/>
          <w:lang w:eastAsia="zh-CN"/>
        </w:rPr>
        <w:t xml:space="preserve">, but we think it is an unnecessary </w:t>
      </w:r>
      <w:proofErr w:type="gramStart"/>
      <w:r w:rsidRPr="00277BBF">
        <w:rPr>
          <w:color w:val="FF0000"/>
          <w:sz w:val="20"/>
          <w:lang w:eastAsia="zh-CN"/>
        </w:rPr>
        <w:t>optimization actually</w:t>
      </w:r>
      <w:proofErr w:type="gramEnd"/>
      <w:r w:rsidRPr="00277BBF">
        <w:rPr>
          <w:color w:val="FF0000"/>
          <w:sz w:val="20"/>
          <w:lang w:eastAsia="zh-CN"/>
        </w:rPr>
        <w:t xml:space="preserve">. In the spec where it is referred, actually there are seven sets of characters, even there is no need to use </w:t>
      </w:r>
      <w:proofErr w:type="spellStart"/>
      <w:r w:rsidRPr="00277BBF">
        <w:rPr>
          <w:color w:val="FF0000"/>
          <w:sz w:val="20"/>
          <w:lang w:eastAsia="zh-CN"/>
        </w:rPr>
        <w:t>VisibleString</w:t>
      </w:r>
      <w:proofErr w:type="spellEnd"/>
      <w:r w:rsidRPr="00277BBF">
        <w:rPr>
          <w:color w:val="FF0000"/>
          <w:sz w:val="20"/>
          <w:lang w:eastAsia="zh-CN"/>
        </w:rPr>
        <w:t xml:space="preserve"> at all. </w:t>
      </w:r>
    </w:p>
    <w:bookmarkEnd w:id="2"/>
    <w:p w14:paraId="2A090D3B" w14:textId="384D47A8" w:rsidR="009548E5" w:rsidRDefault="009548E5" w:rsidP="00535376">
      <w:pPr>
        <w:pStyle w:val="TAL"/>
        <w:rPr>
          <w:sz w:val="20"/>
          <w:lang w:eastAsia="zh-CN"/>
        </w:rPr>
      </w:pPr>
    </w:p>
    <w:p w14:paraId="2AADA49D" w14:textId="77777777" w:rsidR="009548E5" w:rsidRPr="00277BBF" w:rsidRDefault="009548E5" w:rsidP="009548E5">
      <w:pPr>
        <w:rPr>
          <w:rFonts w:ascii="Calibri" w:hAnsi="Calibri"/>
          <w:color w:val="00B0F0"/>
          <w:lang w:eastAsia="en-US"/>
        </w:rPr>
      </w:pPr>
      <w:r w:rsidRPr="00277BBF">
        <w:rPr>
          <w:color w:val="00B0F0"/>
        </w:rPr>
        <w:t xml:space="preserve">[Ericsson] </w:t>
      </w:r>
      <w:r w:rsidRPr="00277BBF">
        <w:rPr>
          <w:color w:val="00B0F0"/>
          <w:lang w:eastAsia="en-US"/>
        </w:rPr>
        <w:t xml:space="preserve">We have the issue that the Node Name we can use between OAM and RAN can include the “_” (underscore) character, while the Node Name we can use over the RAN interfaces does not contain that character. </w:t>
      </w:r>
    </w:p>
    <w:p w14:paraId="6290EB48" w14:textId="77777777" w:rsidR="009548E5" w:rsidRPr="00277BBF" w:rsidRDefault="009548E5" w:rsidP="009548E5">
      <w:pPr>
        <w:rPr>
          <w:color w:val="00B0F0"/>
          <w:lang w:eastAsia="en-US"/>
        </w:rPr>
      </w:pPr>
      <w:r w:rsidRPr="00277BBF">
        <w:rPr>
          <w:color w:val="00B0F0"/>
          <w:lang w:eastAsia="en-US"/>
        </w:rPr>
        <w:t xml:space="preserve">That is why we are proposing to add a new IE (so make the proposal backwards compatible) with an encoding </w:t>
      </w:r>
      <w:proofErr w:type="spellStart"/>
      <w:r w:rsidRPr="00277BBF">
        <w:rPr>
          <w:color w:val="00B0F0"/>
          <w:lang w:eastAsia="en-US"/>
        </w:rPr>
        <w:t>VisibleString</w:t>
      </w:r>
      <w:proofErr w:type="spellEnd"/>
      <w:r w:rsidRPr="00277BBF">
        <w:rPr>
          <w:color w:val="00B0F0"/>
          <w:lang w:eastAsia="en-US"/>
        </w:rPr>
        <w:t>(SIZE(1..150, ...)) (to include missing characters like “_”).</w:t>
      </w:r>
    </w:p>
    <w:p w14:paraId="07C2CCDB" w14:textId="6D6B6C0F" w:rsidR="009548E5" w:rsidRPr="00364CF8" w:rsidRDefault="009548E5" w:rsidP="00535376">
      <w:pPr>
        <w:pStyle w:val="TAL"/>
        <w:rPr>
          <w:sz w:val="20"/>
          <w:lang w:eastAsia="zh-CN"/>
        </w:rPr>
      </w:pPr>
    </w:p>
    <w:p w14:paraId="35DF7962" w14:textId="2A9D8670" w:rsidR="00180E79" w:rsidRPr="00CE0424" w:rsidRDefault="00A5477C" w:rsidP="00180E79">
      <w:pPr>
        <w:pStyle w:val="Heading1"/>
      </w:pPr>
      <w:r>
        <w:t>Co</w:t>
      </w:r>
      <w:r w:rsidR="00180E79" w:rsidRPr="00CE0424">
        <w:t>nclusion</w:t>
      </w:r>
    </w:p>
    <w:p w14:paraId="6F5FFDBE" w14:textId="466C2397" w:rsidR="009E02D4" w:rsidRDefault="009548E5" w:rsidP="007D25EC">
      <w:bookmarkStart w:id="3" w:name="_In-sequence_SDU_delivery"/>
      <w:bookmarkEnd w:id="3"/>
      <w:r>
        <w:t>Four companies support introduction of a Name Type IE according to the format below, while one company does not see the need for this. In an attempt to converge towards the majority view it is proposed the following</w:t>
      </w:r>
    </w:p>
    <w:p w14:paraId="6B462ED4" w14:textId="77777777" w:rsidR="009548E5" w:rsidRDefault="009548E5" w:rsidP="007D25EC"/>
    <w:p w14:paraId="03D33EEB" w14:textId="77777777" w:rsidR="00C4741C" w:rsidRPr="00937599" w:rsidRDefault="00C4741C" w:rsidP="00C4741C">
      <w:pPr>
        <w:pStyle w:val="TOC1"/>
        <w:tabs>
          <w:tab w:val="clear" w:pos="1701"/>
          <w:tab w:val="left" w:pos="0"/>
        </w:tabs>
        <w:spacing w:after="120"/>
        <w:ind w:left="0" w:firstLine="0"/>
        <w:jc w:val="both"/>
      </w:pPr>
      <w:r w:rsidRPr="00937599">
        <w:t xml:space="preserve">Proposal: it is proposed to </w:t>
      </w:r>
      <w:r>
        <w:t xml:space="preserve">add backwards compatible extentions to the </w:t>
      </w:r>
      <w:r w:rsidRPr="00937599">
        <w:t>gNB-CU Name, gNB-DU Name, gNB-CU-UP Name, gNB-CU-CP Name and RAN Node Name</w:t>
      </w:r>
      <w:r>
        <w:t>, where such extensions would support the</w:t>
      </w:r>
      <w:r w:rsidRPr="00937599">
        <w:t xml:space="preserve"> following</w:t>
      </w:r>
      <w:r>
        <w:t xml:space="preserve"> format</w:t>
      </w:r>
      <w:r w:rsidRPr="00937599">
        <w:t>:</w:t>
      </w:r>
    </w:p>
    <w:p w14:paraId="5A217843" w14:textId="6E76D9DF" w:rsidR="00C4741C" w:rsidRDefault="00C4741C" w:rsidP="00C4741C">
      <w:pPr>
        <w:pStyle w:val="TOC1"/>
        <w:tabs>
          <w:tab w:val="clear" w:pos="1701"/>
          <w:tab w:val="left" w:pos="0"/>
        </w:tabs>
        <w:spacing w:after="120"/>
        <w:ind w:left="0" w:firstLine="0"/>
        <w:jc w:val="both"/>
      </w:pPr>
      <w:r w:rsidRPr="00937599">
        <w:t>VisibleString(SIZE(1..150, ...))</w:t>
      </w:r>
    </w:p>
    <w:p w14:paraId="3C9EB487" w14:textId="77777777" w:rsidR="009548E5" w:rsidRPr="00937599" w:rsidRDefault="009548E5" w:rsidP="00C4741C">
      <w:pPr>
        <w:pStyle w:val="TOC1"/>
        <w:tabs>
          <w:tab w:val="clear" w:pos="1701"/>
          <w:tab w:val="left" w:pos="0"/>
        </w:tabs>
        <w:spacing w:after="120"/>
        <w:ind w:left="0" w:firstLine="0"/>
        <w:jc w:val="both"/>
      </w:pPr>
    </w:p>
    <w:p w14:paraId="2F88F357" w14:textId="6F43579A" w:rsidR="009E02D4" w:rsidRDefault="009E02D4" w:rsidP="007D25EC"/>
    <w:p w14:paraId="591CBFD1" w14:textId="7DDBD05C" w:rsidR="00AC41BA" w:rsidRPr="0099177E" w:rsidRDefault="00AC41BA" w:rsidP="00826753">
      <w:pPr>
        <w:rPr>
          <w:lang w:val="en-US"/>
        </w:rPr>
      </w:pPr>
    </w:p>
    <w:sectPr w:rsidR="00AC41BA" w:rsidRPr="0099177E" w:rsidSect="000F16A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760A5" w14:textId="77777777" w:rsidR="00DF33D2" w:rsidRDefault="00DF33D2">
      <w:r>
        <w:separator/>
      </w:r>
    </w:p>
  </w:endnote>
  <w:endnote w:type="continuationSeparator" w:id="0">
    <w:p w14:paraId="0E992BC5" w14:textId="77777777" w:rsidR="00DF33D2" w:rsidRDefault="00DF33D2">
      <w:r>
        <w:continuationSeparator/>
      </w:r>
    </w:p>
  </w:endnote>
  <w:endnote w:type="continuationNotice" w:id="1">
    <w:p w14:paraId="5FFF1718" w14:textId="77777777" w:rsidR="00DF33D2" w:rsidRDefault="00DF3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17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17A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5290A" w14:textId="77777777" w:rsidR="00DF33D2" w:rsidRDefault="00DF33D2">
      <w:r>
        <w:separator/>
      </w:r>
    </w:p>
  </w:footnote>
  <w:footnote w:type="continuationSeparator" w:id="0">
    <w:p w14:paraId="219F5A98" w14:textId="77777777" w:rsidR="00DF33D2" w:rsidRDefault="00DF33D2">
      <w:r>
        <w:continuationSeparator/>
      </w:r>
    </w:p>
  </w:footnote>
  <w:footnote w:type="continuationNotice" w:id="1">
    <w:p w14:paraId="6DE72CA0" w14:textId="77777777" w:rsidR="00DF33D2" w:rsidRDefault="00DF3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040CB5"/>
    <w:multiLevelType w:val="hybridMultilevel"/>
    <w:tmpl w:val="5FA8398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3C79C1"/>
    <w:multiLevelType w:val="hybridMultilevel"/>
    <w:tmpl w:val="9A3EBC5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4"/>
  </w:num>
  <w:num w:numId="6">
    <w:abstractNumId w:val="8"/>
  </w:num>
  <w:num w:numId="7">
    <w:abstractNumId w:val="13"/>
  </w:num>
  <w:num w:numId="8">
    <w:abstractNumId w:val="5"/>
  </w:num>
  <w:num w:numId="9">
    <w:abstractNumId w:val="11"/>
  </w:num>
  <w:num w:numId="10">
    <w:abstractNumId w:val="14"/>
  </w:num>
  <w:num w:numId="11">
    <w:abstractNumId w:val="16"/>
  </w:num>
  <w:num w:numId="12">
    <w:abstractNumId w:val="15"/>
  </w:num>
  <w:num w:numId="13">
    <w:abstractNumId w:val="20"/>
  </w:num>
  <w:num w:numId="14">
    <w:abstractNumId w:val="17"/>
  </w:num>
  <w:num w:numId="15">
    <w:abstractNumId w:val="19"/>
  </w:num>
  <w:num w:numId="16">
    <w:abstractNumId w:val="2"/>
  </w:num>
  <w:num w:numId="17">
    <w:abstractNumId w:val="12"/>
  </w:num>
  <w:num w:numId="18">
    <w:abstractNumId w:val="18"/>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3"/>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7E0"/>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1C69"/>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371D"/>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20E"/>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77BBF"/>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5E04"/>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4CF8"/>
    <w:rsid w:val="003675AE"/>
    <w:rsid w:val="00367C7A"/>
    <w:rsid w:val="00367F9D"/>
    <w:rsid w:val="00370300"/>
    <w:rsid w:val="00370E47"/>
    <w:rsid w:val="003739D8"/>
    <w:rsid w:val="003742AC"/>
    <w:rsid w:val="00374342"/>
    <w:rsid w:val="00375474"/>
    <w:rsid w:val="003762AF"/>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3C69"/>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D4"/>
    <w:rsid w:val="004158E0"/>
    <w:rsid w:val="0041622B"/>
    <w:rsid w:val="00416DE7"/>
    <w:rsid w:val="004176EB"/>
    <w:rsid w:val="0042104A"/>
    <w:rsid w:val="00421105"/>
    <w:rsid w:val="00422190"/>
    <w:rsid w:val="00422750"/>
    <w:rsid w:val="004229D7"/>
    <w:rsid w:val="004238C9"/>
    <w:rsid w:val="00423A9C"/>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5376"/>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5275"/>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8E5"/>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37B49"/>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7A7"/>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0C4"/>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AF75D5"/>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0DCE"/>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1C"/>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1B54"/>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3D2"/>
    <w:rsid w:val="00DF37A0"/>
    <w:rsid w:val="00DF4C2E"/>
    <w:rsid w:val="00DF5C56"/>
    <w:rsid w:val="00DF6D0C"/>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152"/>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4E5"/>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655"/>
    <w:rsid w:val="00FE0E1F"/>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6505635">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A112-0CC4-4AE5-8712-78A21F95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4C7FA7E-FA31-4741-9951-6224A17C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3</Pages>
  <Words>558</Words>
  <Characters>2976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2008-01-31T06:09:00Z</cp:lastPrinted>
  <dcterms:created xsi:type="dcterms:W3CDTF">2020-02-27T17:09:00Z</dcterms:created>
  <dcterms:modified xsi:type="dcterms:W3CDTF">2020-02-28T00:20:00Z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2015_ms_pID_725343">
    <vt:lpwstr>(2)SQ/BtFbdg2ufJb4ljo8Rd/43iEk7znnqGyua+O2E+40EOGYZ467fKBqpudGmZRlxeQphn1jE
eUusbHHsNyNGsxLY1Z97d2I/f16JBAOiXy2DqhMb0YEWalDh/Ww9cRESohA5FVbgB+QCqlpn
e1GQkjGlFbnzvh8L9TWey7BytgDjDdS2URDVMS3pAniP/g+UyFZwPsdWqfIixhpnrxVeB75k
Tqi3tCZ1GKsitrt2MO</vt:lpwstr>
  </property>
  <property fmtid="{D5CDD505-2E9C-101B-9397-08002B2CF9AE}" pid="16" name="_2015_ms_pID_7253431">
    <vt:lpwstr>k/xYl5WGgf7niWXoznWZ/F3D+NT/I0i4w4YIUz/zuIBOu8G0XBEynZ
XXNOWwOkKnq3W9AoYl7/W+0S9y+f7dNZ/NH9UIPwpJUySqDQ8lck951bgv19ZCXbkVFnTFIL
xLTUz7QGcoIurlcP3moh1EkXKGKWRXIBQ9TitCWgyo8lADYOPax6uO+IXLtA5l5Lrq+JF893
rm32d9+TWY3PEif9</vt:lpwstr>
  </property>
</Properties>
</file>